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E55A" w14:textId="77777777" w:rsidR="005B0E63" w:rsidRDefault="005B0E63" w:rsidP="00D457FB">
      <w:pPr>
        <w:spacing w:after="0" w:line="300" w:lineRule="auto"/>
        <w:rPr>
          <w:b/>
        </w:rPr>
      </w:pPr>
    </w:p>
    <w:p w14:paraId="3B8A9745" w14:textId="77777777" w:rsidR="003C584E" w:rsidRDefault="003C584E" w:rsidP="00D457FB">
      <w:pPr>
        <w:spacing w:after="0" w:line="300" w:lineRule="auto"/>
        <w:rPr>
          <w:b/>
        </w:rPr>
      </w:pPr>
      <w:r>
        <w:rPr>
          <w:b/>
        </w:rPr>
        <w:t>Scope:</w:t>
      </w:r>
    </w:p>
    <w:p w14:paraId="4EDA095B" w14:textId="77777777" w:rsidR="003C584E" w:rsidRPr="00FB2DAE" w:rsidRDefault="003C584E" w:rsidP="00D457FB">
      <w:pPr>
        <w:spacing w:after="0" w:line="300" w:lineRule="auto"/>
      </w:pPr>
      <w:r>
        <w:t xml:space="preserve">This policy covers the method for determining whether capital projects may be funded with CRC reserve balances. </w:t>
      </w:r>
    </w:p>
    <w:p w14:paraId="1DA5D95A" w14:textId="77777777" w:rsidR="00EA3D25" w:rsidRDefault="00EA3D25" w:rsidP="00D457FB">
      <w:pPr>
        <w:spacing w:after="0" w:line="300" w:lineRule="auto"/>
      </w:pPr>
    </w:p>
    <w:p w14:paraId="7E901DBE" w14:textId="77777777" w:rsidR="002B1E2A" w:rsidRPr="002B1E2A" w:rsidRDefault="002B1E2A" w:rsidP="00D457FB">
      <w:pPr>
        <w:spacing w:after="0" w:line="300" w:lineRule="auto"/>
        <w:rPr>
          <w:b/>
        </w:rPr>
      </w:pPr>
      <w:bookmarkStart w:id="0" w:name="_Hlk480812341"/>
      <w:r w:rsidRPr="002B1E2A">
        <w:rPr>
          <w:b/>
        </w:rPr>
        <w:t>Policy</w:t>
      </w:r>
      <w:r w:rsidR="003C584E">
        <w:rPr>
          <w:b/>
        </w:rPr>
        <w:t xml:space="preserve"> Statement</w:t>
      </w:r>
      <w:r w:rsidRPr="002B1E2A">
        <w:rPr>
          <w:b/>
        </w:rPr>
        <w:t>:</w:t>
      </w:r>
    </w:p>
    <w:bookmarkEnd w:id="0"/>
    <w:p w14:paraId="79D2103C" w14:textId="74D1453B" w:rsidR="00625F49" w:rsidRDefault="002B1E2A" w:rsidP="00D457FB">
      <w:pPr>
        <w:spacing w:after="0" w:line="300" w:lineRule="auto"/>
      </w:pPr>
      <w:r>
        <w:t>Self-Support</w:t>
      </w:r>
      <w:r w:rsidR="00EA3D25">
        <w:t xml:space="preserve"> </w:t>
      </w:r>
      <w:r w:rsidR="002A1024">
        <w:t>planning unit</w:t>
      </w:r>
      <w:r w:rsidR="00EA3D25">
        <w:t xml:space="preserve">s </w:t>
      </w:r>
      <w:r w:rsidR="00625F49">
        <w:t>may choose to fund capital projects with CRC</w:t>
      </w:r>
      <w:r w:rsidR="005B7431">
        <w:t xml:space="preserve"> Reserves,</w:t>
      </w:r>
      <w:r w:rsidR="004A44B2">
        <w:t xml:space="preserve"> </w:t>
      </w:r>
      <w:r w:rsidR="00EA3D25">
        <w:t xml:space="preserve">while </w:t>
      </w:r>
      <w:r w:rsidR="00625F49">
        <w:t xml:space="preserve">the </w:t>
      </w:r>
      <w:r w:rsidR="00EA3D25">
        <w:t>funding</w:t>
      </w:r>
      <w:r w:rsidR="00625F49">
        <w:t xml:space="preserve"> of capital projects</w:t>
      </w:r>
      <w:r w:rsidR="00EA3D25">
        <w:t xml:space="preserve"> for </w:t>
      </w:r>
      <w:r w:rsidR="00D92ABF">
        <w:t>c</w:t>
      </w:r>
      <w:r w:rsidR="00EA3D25">
        <w:t>entral</w:t>
      </w:r>
      <w:r w:rsidR="00625F49">
        <w:t>-</w:t>
      </w:r>
      <w:r w:rsidR="00D92ABF">
        <w:t>s</w:t>
      </w:r>
      <w:r w:rsidR="00EA3D25">
        <w:t xml:space="preserve">upport </w:t>
      </w:r>
      <w:r w:rsidR="002A1024">
        <w:t>planning unit</w:t>
      </w:r>
      <w:r w:rsidR="00EA3D25">
        <w:t>s is determined centrally</w:t>
      </w:r>
      <w:r w:rsidR="00625F49">
        <w:t xml:space="preserve">. </w:t>
      </w:r>
    </w:p>
    <w:p w14:paraId="0AC5C4B6" w14:textId="77777777" w:rsidR="00D457FB" w:rsidRDefault="00D457FB" w:rsidP="00D457FB">
      <w:pPr>
        <w:spacing w:after="0" w:line="300" w:lineRule="auto"/>
      </w:pPr>
    </w:p>
    <w:p w14:paraId="601837C8" w14:textId="77777777" w:rsidR="00845249" w:rsidRDefault="002B1E2A" w:rsidP="00D457FB">
      <w:pPr>
        <w:spacing w:after="0" w:line="300" w:lineRule="auto"/>
      </w:pPr>
      <w:r>
        <w:t>To</w:t>
      </w:r>
      <w:r w:rsidR="00EA3D25">
        <w:t xml:space="preserve"> qualify for CRC funding, </w:t>
      </w:r>
      <w:r w:rsidR="00845249">
        <w:t xml:space="preserve">capital projects must </w:t>
      </w:r>
      <w:r w:rsidR="00D457FB">
        <w:t>meet</w:t>
      </w:r>
      <w:r w:rsidR="00845249">
        <w:t xml:space="preserve"> the following </w:t>
      </w:r>
      <w:r w:rsidR="004A44B2">
        <w:t>criteria</w:t>
      </w:r>
      <w:r w:rsidR="00845249">
        <w:t>:</w:t>
      </w:r>
    </w:p>
    <w:p w14:paraId="1C20E04E" w14:textId="77777777" w:rsidR="00845249" w:rsidRDefault="002536B2" w:rsidP="00D457FB">
      <w:pPr>
        <w:pStyle w:val="ListParagraph"/>
        <w:numPr>
          <w:ilvl w:val="0"/>
          <w:numId w:val="2"/>
        </w:numPr>
        <w:spacing w:after="0" w:line="300" w:lineRule="auto"/>
      </w:pPr>
      <w:r>
        <w:t>The us</w:t>
      </w:r>
      <w:r w:rsidR="00D92ABF">
        <w:t xml:space="preserve">eful life of the project </w:t>
      </w:r>
      <w:r w:rsidR="00B22320">
        <w:t>must be greater than two years.</w:t>
      </w:r>
      <w:r w:rsidR="00BA1DA9" w:rsidRPr="00BA1DA9">
        <w:t xml:space="preserve"> </w:t>
      </w:r>
      <w:r w:rsidR="00BA1DA9">
        <w:t xml:space="preserve"> </w:t>
      </w:r>
    </w:p>
    <w:p w14:paraId="3449D259" w14:textId="77777777" w:rsidR="00845249" w:rsidRDefault="00B22320" w:rsidP="00D457FB">
      <w:pPr>
        <w:pStyle w:val="ListParagraph"/>
        <w:numPr>
          <w:ilvl w:val="0"/>
          <w:numId w:val="2"/>
        </w:numPr>
        <w:spacing w:after="0" w:line="300" w:lineRule="auto"/>
      </w:pPr>
      <w:r>
        <w:t xml:space="preserve">The </w:t>
      </w:r>
      <w:r w:rsidR="00D92ABF">
        <w:t>b</w:t>
      </w:r>
      <w:r>
        <w:t>udget</w:t>
      </w:r>
      <w:r w:rsidR="00D92ABF">
        <w:t xml:space="preserve"> c</w:t>
      </w:r>
      <w:r>
        <w:t>ategory for the proj</w:t>
      </w:r>
      <w:r w:rsidR="00BA1DA9">
        <w:t xml:space="preserve">ect must be </w:t>
      </w:r>
      <w:r w:rsidR="00D92ABF">
        <w:t>c</w:t>
      </w:r>
      <w:r w:rsidR="00BA1DA9">
        <w:t xml:space="preserve">apital </w:t>
      </w:r>
      <w:r w:rsidR="00D92ABF">
        <w:t>m</w:t>
      </w:r>
      <w:r w:rsidR="00BA1DA9">
        <w:t>aintenance</w:t>
      </w:r>
      <w:r w:rsidR="002536B2">
        <w:t>,</w:t>
      </w:r>
      <w:r w:rsidR="00D92ABF">
        <w:t xml:space="preserve"> which means the </w:t>
      </w:r>
      <w:r w:rsidR="00BA1DA9">
        <w:t>project is intended to extend the life of the building.</w:t>
      </w:r>
    </w:p>
    <w:p w14:paraId="0F177B26" w14:textId="77777777" w:rsidR="00347B41" w:rsidRDefault="00347B41" w:rsidP="005B7431">
      <w:pPr>
        <w:pStyle w:val="ListParagraph"/>
        <w:numPr>
          <w:ilvl w:val="1"/>
          <w:numId w:val="2"/>
        </w:numPr>
        <w:spacing w:after="0" w:line="300" w:lineRule="auto"/>
      </w:pPr>
      <w:r>
        <w:t xml:space="preserve">If the </w:t>
      </w:r>
      <w:r w:rsidR="00B22320">
        <w:t xml:space="preserve">project </w:t>
      </w:r>
      <w:r>
        <w:t>involves</w:t>
      </w:r>
      <w:r w:rsidR="00B22320">
        <w:t xml:space="preserve"> </w:t>
      </w:r>
      <w:r w:rsidR="00845249">
        <w:t>new/incremental construction</w:t>
      </w:r>
      <w:r w:rsidR="00B22320">
        <w:t xml:space="preserve"> (additional square footage)</w:t>
      </w:r>
      <w:r>
        <w:t xml:space="preserve">, only the capital maintenance portion of the project can be funded with </w:t>
      </w:r>
      <w:r w:rsidR="005B7431">
        <w:t>CRC Reserves</w:t>
      </w:r>
      <w:r>
        <w:t>.</w:t>
      </w:r>
      <w:r w:rsidR="0098389A">
        <w:t xml:space="preserve"> </w:t>
      </w:r>
    </w:p>
    <w:p w14:paraId="12DC19FA" w14:textId="77777777" w:rsidR="00845249" w:rsidRDefault="00347B41" w:rsidP="00D457FB">
      <w:pPr>
        <w:pStyle w:val="ListParagraph"/>
        <w:numPr>
          <w:ilvl w:val="0"/>
          <w:numId w:val="2"/>
        </w:numPr>
        <w:spacing w:after="0" w:line="300" w:lineRule="auto"/>
      </w:pPr>
      <w:r>
        <w:t xml:space="preserve">The project is </w:t>
      </w:r>
      <w:r w:rsidR="0098389A">
        <w:t>not related to</w:t>
      </w:r>
      <w:r w:rsidR="00845249">
        <w:t xml:space="preserve"> </w:t>
      </w:r>
      <w:r w:rsidR="0098389A">
        <w:t xml:space="preserve">utilities distribution, </w:t>
      </w:r>
      <w:r w:rsidR="00845249">
        <w:t xml:space="preserve">IT systems, </w:t>
      </w:r>
      <w:r w:rsidR="00BA1DA9">
        <w:t>or</w:t>
      </w:r>
      <w:r w:rsidR="00845249">
        <w:t xml:space="preserve"> moveable equipment</w:t>
      </w:r>
      <w:r w:rsidR="00B22320">
        <w:t>.</w:t>
      </w:r>
    </w:p>
    <w:p w14:paraId="20DD5600" w14:textId="77777777" w:rsidR="00A40DE8" w:rsidRDefault="004C46B5" w:rsidP="00D457FB">
      <w:pPr>
        <w:pStyle w:val="ListParagraph"/>
        <w:numPr>
          <w:ilvl w:val="0"/>
          <w:numId w:val="1"/>
        </w:numPr>
        <w:spacing w:after="0" w:line="300" w:lineRule="auto"/>
      </w:pPr>
      <w:r>
        <w:t>The b</w:t>
      </w:r>
      <w:r w:rsidR="00A40DE8">
        <w:t xml:space="preserve">uilding for which </w:t>
      </w:r>
      <w:r w:rsidR="005B7431">
        <w:t>CRC Reserves</w:t>
      </w:r>
      <w:r>
        <w:t xml:space="preserve"> </w:t>
      </w:r>
      <w:r w:rsidR="005B7431">
        <w:t xml:space="preserve">are </w:t>
      </w:r>
      <w:r>
        <w:t>to be</w:t>
      </w:r>
      <w:r w:rsidR="00A40DE8">
        <w:t xml:space="preserve"> used must meet one of the following criteria:</w:t>
      </w:r>
    </w:p>
    <w:p w14:paraId="66391118" w14:textId="5EF7584F" w:rsidR="00A40DE8" w:rsidRDefault="002A1024" w:rsidP="00D457FB">
      <w:pPr>
        <w:pStyle w:val="ListParagraph"/>
        <w:numPr>
          <w:ilvl w:val="1"/>
          <w:numId w:val="1"/>
        </w:numPr>
        <w:spacing w:after="0" w:line="300" w:lineRule="auto"/>
      </w:pPr>
      <w:r>
        <w:t>Planning unit</w:t>
      </w:r>
      <w:r w:rsidR="00A40DE8">
        <w:t xml:space="preserve"> currently occupies </w:t>
      </w:r>
      <w:r w:rsidR="00D92ABF">
        <w:t xml:space="preserve">the </w:t>
      </w:r>
      <w:r w:rsidR="00A40DE8">
        <w:t>building and pays CRC for the building</w:t>
      </w:r>
      <w:r w:rsidR="00EA3D25">
        <w:t>.</w:t>
      </w:r>
    </w:p>
    <w:p w14:paraId="3651B06B" w14:textId="3BD98D1F" w:rsidR="00A40DE8" w:rsidRDefault="002A1024" w:rsidP="00D457FB">
      <w:pPr>
        <w:pStyle w:val="ListParagraph"/>
        <w:numPr>
          <w:ilvl w:val="1"/>
          <w:numId w:val="1"/>
        </w:numPr>
        <w:spacing w:after="0" w:line="300" w:lineRule="auto"/>
      </w:pPr>
      <w:r>
        <w:t>Planning unit</w:t>
      </w:r>
      <w:r w:rsidR="00A40DE8">
        <w:t xml:space="preserve"> does not currently occupy the </w:t>
      </w:r>
      <w:r w:rsidR="00B21235">
        <w:t>building but</w:t>
      </w:r>
      <w:r w:rsidR="00A40DE8">
        <w:t xml:space="preserve"> </w:t>
      </w:r>
      <w:bookmarkStart w:id="1" w:name="_GoBack"/>
      <w:bookmarkEnd w:id="1"/>
      <w:r w:rsidR="00A40DE8">
        <w:t>will occupy in the future and pay CRC for the building</w:t>
      </w:r>
      <w:r w:rsidR="00EA3D25">
        <w:t xml:space="preserve"> (subject to approval by the Budget Office).</w:t>
      </w:r>
    </w:p>
    <w:p w14:paraId="76E9C585" w14:textId="054A234C" w:rsidR="00A40DE8" w:rsidRDefault="002A1024" w:rsidP="00D457FB">
      <w:pPr>
        <w:pStyle w:val="ListParagraph"/>
        <w:numPr>
          <w:ilvl w:val="1"/>
          <w:numId w:val="1"/>
        </w:numPr>
        <w:spacing w:after="0" w:line="300" w:lineRule="auto"/>
      </w:pPr>
      <w:r>
        <w:t>Planning unit</w:t>
      </w:r>
      <w:r w:rsidR="00A40DE8">
        <w:t xml:space="preserve"> currently occupies building, does not currently pay </w:t>
      </w:r>
      <w:r w:rsidR="005B7431">
        <w:t>CRC</w:t>
      </w:r>
      <w:r w:rsidR="00A40DE8">
        <w:t>, but will pay CRC for the building in the future</w:t>
      </w:r>
      <w:r w:rsidR="00EA3D25">
        <w:t xml:space="preserve"> (subject to approval by the Budget Office).</w:t>
      </w:r>
    </w:p>
    <w:p w14:paraId="014B788E" w14:textId="77777777" w:rsidR="00753FE9" w:rsidRDefault="005B7431" w:rsidP="00753FE9">
      <w:pPr>
        <w:pStyle w:val="ListParagraph"/>
        <w:numPr>
          <w:ilvl w:val="0"/>
          <w:numId w:val="1"/>
        </w:numPr>
        <w:spacing w:after="0" w:line="300" w:lineRule="auto"/>
      </w:pPr>
      <w:r>
        <w:t>CRC Reserves</w:t>
      </w:r>
      <w:r w:rsidR="00753FE9">
        <w:t xml:space="preserve"> cannot be used to </w:t>
      </w:r>
      <w:r w:rsidR="00B10875">
        <w:t>fund capital maintenance for b</w:t>
      </w:r>
      <w:r w:rsidR="00753FE9">
        <w:t>uildings for which CRC is not charged, such as leased buildings</w:t>
      </w:r>
      <w:r w:rsidR="00D92ABF">
        <w:t xml:space="preserve"> or the</w:t>
      </w:r>
      <w:r w:rsidR="00753FE9">
        <w:t xml:space="preserve"> School of Medicine buildings. </w:t>
      </w:r>
    </w:p>
    <w:p w14:paraId="475C8F2A" w14:textId="3BC3A697" w:rsidR="00D92ABF" w:rsidRDefault="00D92ABF" w:rsidP="00D92ABF">
      <w:pPr>
        <w:spacing w:after="0" w:line="300" w:lineRule="auto"/>
      </w:pPr>
      <w:r>
        <w:br/>
        <w:t xml:space="preserve">Once the above qualifications are met, unit will receive written approval from the </w:t>
      </w:r>
      <w:r w:rsidR="002A1024">
        <w:t>B</w:t>
      </w:r>
      <w:r>
        <w:t xml:space="preserve">udget </w:t>
      </w:r>
      <w:r w:rsidR="002A1024">
        <w:t>O</w:t>
      </w:r>
      <w:r>
        <w:t xml:space="preserve">ffice to proceed with CRC funding for the approved projects.  </w:t>
      </w:r>
    </w:p>
    <w:p w14:paraId="44ED2536" w14:textId="77777777" w:rsidR="003C584E" w:rsidRDefault="003C584E" w:rsidP="003C584E">
      <w:pPr>
        <w:spacing w:after="0" w:line="300" w:lineRule="auto"/>
        <w:rPr>
          <w:b/>
        </w:rPr>
      </w:pPr>
    </w:p>
    <w:p w14:paraId="58B95D96" w14:textId="77777777" w:rsidR="003C584E" w:rsidRDefault="003C584E" w:rsidP="003C584E">
      <w:pPr>
        <w:spacing w:after="0" w:line="300" w:lineRule="auto"/>
        <w:rPr>
          <w:b/>
        </w:rPr>
      </w:pPr>
      <w:r>
        <w:rPr>
          <w:b/>
        </w:rPr>
        <w:t>Reason for the Policy:</w:t>
      </w:r>
    </w:p>
    <w:p w14:paraId="5A481C95" w14:textId="054D7EF0" w:rsidR="003C584E" w:rsidRDefault="003C584E" w:rsidP="003C584E">
      <w:pPr>
        <w:spacing w:after="0" w:line="300" w:lineRule="auto"/>
      </w:pPr>
      <w:r>
        <w:t xml:space="preserve">Each year, operating funds are set aside in separate accounts and to spend on capital maintenance projects when appropriate.  Each self-support </w:t>
      </w:r>
      <w:r w:rsidR="002A1024">
        <w:t>planning unit</w:t>
      </w:r>
      <w:r>
        <w:t xml:space="preserve"> has their own CRC reserve balances, while there is a single central CRC reserve for all central-support </w:t>
      </w:r>
      <w:r w:rsidR="002A1024">
        <w:t>planning unit</w:t>
      </w:r>
      <w:r>
        <w:t xml:space="preserve">s.  </w:t>
      </w:r>
    </w:p>
    <w:p w14:paraId="1B7D58D9" w14:textId="77777777" w:rsidR="003C584E" w:rsidRDefault="003C584E" w:rsidP="003C584E">
      <w:pPr>
        <w:spacing w:after="0" w:line="300" w:lineRule="auto"/>
      </w:pPr>
    </w:p>
    <w:p w14:paraId="32C632B5" w14:textId="77777777" w:rsidR="003C584E" w:rsidRDefault="003C584E" w:rsidP="003C584E">
      <w:pPr>
        <w:spacing w:after="0" w:line="300" w:lineRule="auto"/>
        <w:rPr>
          <w:b/>
        </w:rPr>
      </w:pPr>
      <w:r>
        <w:t>This policy seeks to provide clarity into the methods for determining which capital projects may be funded with CRC reserves.</w:t>
      </w:r>
    </w:p>
    <w:p w14:paraId="7894143B" w14:textId="77777777" w:rsidR="003C584E" w:rsidRDefault="003C584E" w:rsidP="003C584E">
      <w:pPr>
        <w:spacing w:after="0" w:line="300" w:lineRule="auto"/>
        <w:rPr>
          <w:b/>
        </w:rPr>
      </w:pPr>
    </w:p>
    <w:p w14:paraId="63D90A67" w14:textId="77777777" w:rsidR="005B0E63" w:rsidRDefault="005B0E63" w:rsidP="003C584E">
      <w:pPr>
        <w:spacing w:after="0" w:line="300" w:lineRule="auto"/>
        <w:rPr>
          <w:b/>
        </w:rPr>
      </w:pPr>
    </w:p>
    <w:p w14:paraId="1870EBB6" w14:textId="77777777" w:rsidR="005B0E63" w:rsidRDefault="005B0E63" w:rsidP="003C584E">
      <w:pPr>
        <w:spacing w:after="0" w:line="300" w:lineRule="auto"/>
        <w:rPr>
          <w:b/>
        </w:rPr>
      </w:pPr>
    </w:p>
    <w:p w14:paraId="3F0F53DF" w14:textId="77777777" w:rsidR="005B0E63" w:rsidRDefault="005B0E63" w:rsidP="003C584E">
      <w:pPr>
        <w:spacing w:after="0" w:line="300" w:lineRule="auto"/>
        <w:rPr>
          <w:b/>
        </w:rPr>
      </w:pPr>
    </w:p>
    <w:p w14:paraId="4A11790A" w14:textId="77777777" w:rsidR="005B0E63" w:rsidRDefault="005B0E63" w:rsidP="003C584E">
      <w:pPr>
        <w:spacing w:after="0" w:line="300" w:lineRule="auto"/>
        <w:rPr>
          <w:b/>
        </w:rPr>
      </w:pPr>
    </w:p>
    <w:p w14:paraId="1B5D451C" w14:textId="77777777" w:rsidR="005B0E63" w:rsidRDefault="005B0E63" w:rsidP="003C584E">
      <w:pPr>
        <w:spacing w:after="0" w:line="300" w:lineRule="auto"/>
        <w:rPr>
          <w:b/>
        </w:rPr>
      </w:pPr>
    </w:p>
    <w:p w14:paraId="6430F9CB" w14:textId="77777777" w:rsidR="005B0E63" w:rsidRDefault="005B0E63" w:rsidP="003C584E">
      <w:pPr>
        <w:spacing w:after="0" w:line="300" w:lineRule="auto"/>
        <w:rPr>
          <w:b/>
        </w:rPr>
      </w:pPr>
    </w:p>
    <w:p w14:paraId="45EBCA8B" w14:textId="77777777" w:rsidR="003C584E" w:rsidRPr="002B1E2A" w:rsidRDefault="003C584E" w:rsidP="003C584E">
      <w:pPr>
        <w:spacing w:after="0" w:line="300" w:lineRule="auto"/>
        <w:rPr>
          <w:b/>
        </w:rPr>
      </w:pPr>
      <w:r>
        <w:rPr>
          <w:b/>
        </w:rPr>
        <w:t>Definitions</w:t>
      </w:r>
      <w:r w:rsidRPr="002B1E2A">
        <w:rPr>
          <w:b/>
        </w:rPr>
        <w:t>:</w:t>
      </w:r>
    </w:p>
    <w:p w14:paraId="01C6229F" w14:textId="77777777" w:rsidR="003C584E" w:rsidRDefault="003C584E" w:rsidP="003C584E">
      <w:pPr>
        <w:spacing w:after="0" w:line="300" w:lineRule="auto"/>
      </w:pPr>
      <w:r>
        <w:t xml:space="preserve">Capital Replacement Charge (CRC) </w:t>
      </w:r>
    </w:p>
    <w:p w14:paraId="292AE55C" w14:textId="77777777" w:rsidR="003C584E" w:rsidRDefault="003C584E" w:rsidP="003C584E">
      <w:pPr>
        <w:spacing w:after="0" w:line="300" w:lineRule="auto"/>
      </w:pPr>
      <w:r>
        <w:t>The amount of money that, if set aside each year, would be sufficient to fund all the capital maintenance over the long term for Yale’s buildings.  CRC is designed to provide funding for capital maintenance only and is not intended to fund programmatic renovations or new construction.</w:t>
      </w:r>
      <w:r w:rsidRPr="00D457FB">
        <w:t xml:space="preserve"> </w:t>
      </w:r>
    </w:p>
    <w:p w14:paraId="6DADCBB8" w14:textId="77777777" w:rsidR="003C584E" w:rsidRDefault="003C584E" w:rsidP="00D457FB">
      <w:pPr>
        <w:pStyle w:val="ListParagraph"/>
        <w:spacing w:after="0" w:line="300" w:lineRule="auto"/>
      </w:pPr>
    </w:p>
    <w:p w14:paraId="3F6D45C2" w14:textId="77777777" w:rsidR="002B1E2A" w:rsidRDefault="002B1E2A" w:rsidP="00D457FB">
      <w:pPr>
        <w:pStyle w:val="ListParagraph"/>
        <w:spacing w:after="0" w:line="300" w:lineRule="auto"/>
      </w:pPr>
    </w:p>
    <w:p w14:paraId="5E19FD50" w14:textId="6FF5CA53" w:rsidR="002B1E2A" w:rsidRPr="005B0E63" w:rsidRDefault="002B1E2A" w:rsidP="002B1E2A">
      <w:pPr>
        <w:spacing w:after="0" w:line="300" w:lineRule="auto"/>
        <w:rPr>
          <w:b/>
        </w:rPr>
      </w:pPr>
      <w:r w:rsidRPr="005B0E63">
        <w:rPr>
          <w:b/>
        </w:rPr>
        <w:t xml:space="preserve">Date Issued: </w:t>
      </w:r>
      <w:r w:rsidRPr="005B0E63">
        <w:rPr>
          <w:b/>
        </w:rPr>
        <w:tab/>
      </w:r>
      <w:r w:rsidRPr="005B0E63">
        <w:rPr>
          <w:b/>
        </w:rPr>
        <w:tab/>
      </w:r>
      <w:r w:rsidR="00D44C47">
        <w:rPr>
          <w:b/>
        </w:rPr>
        <w:t>05/31/2017</w:t>
      </w:r>
    </w:p>
    <w:p w14:paraId="2617DE19" w14:textId="1E5661D0" w:rsidR="002B1E2A" w:rsidRPr="005B0E63" w:rsidRDefault="002B1E2A" w:rsidP="002B1E2A">
      <w:pPr>
        <w:spacing w:after="0" w:line="300" w:lineRule="auto"/>
        <w:rPr>
          <w:b/>
        </w:rPr>
      </w:pPr>
      <w:r w:rsidRPr="005B0E63">
        <w:rPr>
          <w:b/>
        </w:rPr>
        <w:t>Date Reviewed:</w:t>
      </w:r>
      <w:r w:rsidRPr="005B0E63">
        <w:rPr>
          <w:b/>
        </w:rPr>
        <w:tab/>
      </w:r>
      <w:r w:rsidR="002A1024">
        <w:rPr>
          <w:b/>
        </w:rPr>
        <w:t>11/18/20</w:t>
      </w:r>
      <w:r w:rsidR="00D44C47">
        <w:rPr>
          <w:b/>
        </w:rPr>
        <w:t>20</w:t>
      </w:r>
    </w:p>
    <w:p w14:paraId="7CB03E78" w14:textId="1CFC5B1B" w:rsidR="002B1E2A" w:rsidRDefault="002B1E2A" w:rsidP="002B1E2A">
      <w:pPr>
        <w:spacing w:after="0" w:line="300" w:lineRule="auto"/>
        <w:rPr>
          <w:b/>
        </w:rPr>
      </w:pPr>
      <w:r w:rsidRPr="005B0E63">
        <w:rPr>
          <w:b/>
        </w:rPr>
        <w:t xml:space="preserve">Date Revised: </w:t>
      </w:r>
      <w:r w:rsidRPr="005B0E63">
        <w:rPr>
          <w:b/>
        </w:rPr>
        <w:tab/>
      </w:r>
      <w:r w:rsidRPr="005B0E63">
        <w:rPr>
          <w:b/>
        </w:rPr>
        <w:tab/>
      </w:r>
      <w:r w:rsidR="002A1024">
        <w:rPr>
          <w:b/>
        </w:rPr>
        <w:t>11/18/20</w:t>
      </w:r>
      <w:r w:rsidR="00D44C47">
        <w:rPr>
          <w:b/>
        </w:rPr>
        <w:t>20</w:t>
      </w:r>
    </w:p>
    <w:p w14:paraId="1059762F" w14:textId="77777777" w:rsidR="002B1E2A" w:rsidRDefault="002B1E2A" w:rsidP="002B1E2A">
      <w:pPr>
        <w:spacing w:after="0" w:line="300" w:lineRule="auto"/>
        <w:rPr>
          <w:b/>
        </w:rPr>
      </w:pPr>
    </w:p>
    <w:p w14:paraId="5317B4D3" w14:textId="77777777" w:rsidR="002B1E2A" w:rsidRPr="002B1E2A" w:rsidRDefault="002B1E2A" w:rsidP="002B1E2A">
      <w:pPr>
        <w:spacing w:after="0" w:line="300" w:lineRule="auto"/>
        <w:rPr>
          <w:b/>
        </w:rPr>
      </w:pPr>
      <w:r>
        <w:rPr>
          <w:b/>
        </w:rPr>
        <w:t>Owner:</w:t>
      </w:r>
      <w:r>
        <w:rPr>
          <w:b/>
        </w:rPr>
        <w:tab/>
        <w:t>Director, Financial Planning &amp; Analysis</w:t>
      </w:r>
    </w:p>
    <w:p w14:paraId="4F80F4FE" w14:textId="77777777" w:rsidR="002B1E2A" w:rsidRDefault="002B1E2A" w:rsidP="00D457FB">
      <w:pPr>
        <w:pStyle w:val="ListParagraph"/>
        <w:spacing w:after="0" w:line="300" w:lineRule="auto"/>
      </w:pPr>
    </w:p>
    <w:sectPr w:rsidR="002B1E2A" w:rsidSect="00347B41">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3889" w14:textId="77777777" w:rsidR="0017095F" w:rsidRDefault="0017095F" w:rsidP="00DF6124">
      <w:pPr>
        <w:spacing w:after="0" w:line="240" w:lineRule="auto"/>
      </w:pPr>
      <w:r>
        <w:separator/>
      </w:r>
    </w:p>
  </w:endnote>
  <w:endnote w:type="continuationSeparator" w:id="0">
    <w:p w14:paraId="01B6E8C9" w14:textId="77777777" w:rsidR="0017095F" w:rsidRDefault="0017095F" w:rsidP="00DF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E38F" w14:textId="77777777" w:rsidR="0017095F" w:rsidRDefault="0017095F" w:rsidP="00DF6124">
      <w:pPr>
        <w:spacing w:after="0" w:line="240" w:lineRule="auto"/>
      </w:pPr>
      <w:r>
        <w:separator/>
      </w:r>
    </w:p>
  </w:footnote>
  <w:footnote w:type="continuationSeparator" w:id="0">
    <w:p w14:paraId="3B15F9C4" w14:textId="77777777" w:rsidR="0017095F" w:rsidRDefault="0017095F" w:rsidP="00DF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26" w:type="pct"/>
      <w:tblCellSpacing w:w="15" w:type="dxa"/>
      <w:tblInd w:w="-54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444"/>
      <w:gridCol w:w="5444"/>
    </w:tblGrid>
    <w:tr w:rsidR="002B1E2A" w14:paraId="7157E495" w14:textId="77777777" w:rsidTr="00767990">
      <w:trPr>
        <w:trHeight w:val="394"/>
        <w:tblCellSpacing w:w="15" w:type="dxa"/>
      </w:trPr>
      <w:tc>
        <w:tcPr>
          <w:tcW w:w="2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3B7C1" w14:textId="77777777" w:rsidR="002B1E2A" w:rsidRDefault="002B1E2A" w:rsidP="002B1E2A">
          <w:pPr>
            <w:spacing w:after="0" w:line="240" w:lineRule="auto"/>
            <w:rPr>
              <w:rFonts w:ascii="Times New Roman" w:eastAsia="Times New Roman" w:hAnsi="Times New Roman"/>
              <w:sz w:val="24"/>
              <w:szCs w:val="24"/>
            </w:rPr>
          </w:pPr>
          <w:r>
            <w:rPr>
              <w:rFonts w:ascii="MS Sans Serif" w:eastAsia="Times New Roman" w:hAnsi="MS Sans Serif"/>
              <w:b/>
              <w:bCs/>
              <w:sz w:val="24"/>
              <w:szCs w:val="24"/>
            </w:rPr>
            <w:t>Capital Replacement Charge (CRC) funding policy</w:t>
          </w:r>
        </w:p>
      </w:tc>
      <w:tc>
        <w:tcPr>
          <w:tcW w:w="2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D2D18" w14:textId="77777777" w:rsidR="002B1E2A" w:rsidRDefault="002B1E2A" w:rsidP="002B1E2A">
          <w:pPr>
            <w:spacing w:after="0" w:line="240" w:lineRule="auto"/>
            <w:rPr>
              <w:rFonts w:ascii="Times New Roman" w:eastAsia="Times New Roman" w:hAnsi="Times New Roman"/>
              <w:sz w:val="24"/>
              <w:szCs w:val="24"/>
            </w:rPr>
          </w:pPr>
          <w:r>
            <w:rPr>
              <w:rFonts w:ascii="MS Sans Serif" w:eastAsia="Times New Roman" w:hAnsi="MS Sans Serif"/>
              <w:b/>
              <w:bCs/>
              <w:sz w:val="24"/>
              <w:szCs w:val="24"/>
            </w:rPr>
            <w:t xml:space="preserve">   University Wide</w:t>
          </w:r>
        </w:p>
      </w:tc>
    </w:tr>
  </w:tbl>
  <w:p w14:paraId="53E9136D" w14:textId="77777777" w:rsidR="002B1E2A" w:rsidRDefault="002B1E2A" w:rsidP="002B1E2A">
    <w:pPr>
      <w:spacing w:after="0" w:line="3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D80"/>
    <w:multiLevelType w:val="hybridMultilevel"/>
    <w:tmpl w:val="3004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377EE"/>
    <w:multiLevelType w:val="hybridMultilevel"/>
    <w:tmpl w:val="780E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E8"/>
    <w:rsid w:val="0000191A"/>
    <w:rsid w:val="00003AE8"/>
    <w:rsid w:val="0000710D"/>
    <w:rsid w:val="000210D9"/>
    <w:rsid w:val="000251D8"/>
    <w:rsid w:val="00025618"/>
    <w:rsid w:val="000264A9"/>
    <w:rsid w:val="0002667E"/>
    <w:rsid w:val="000276F4"/>
    <w:rsid w:val="000409B0"/>
    <w:rsid w:val="00046FAE"/>
    <w:rsid w:val="00057BDC"/>
    <w:rsid w:val="000663A8"/>
    <w:rsid w:val="00066C5A"/>
    <w:rsid w:val="00070240"/>
    <w:rsid w:val="0007322E"/>
    <w:rsid w:val="00073E52"/>
    <w:rsid w:val="00074DA8"/>
    <w:rsid w:val="00074FD3"/>
    <w:rsid w:val="0007608C"/>
    <w:rsid w:val="00076C30"/>
    <w:rsid w:val="00077A9F"/>
    <w:rsid w:val="00081040"/>
    <w:rsid w:val="00081AF0"/>
    <w:rsid w:val="0008223A"/>
    <w:rsid w:val="000824FC"/>
    <w:rsid w:val="00083149"/>
    <w:rsid w:val="00083CF8"/>
    <w:rsid w:val="000864FE"/>
    <w:rsid w:val="000879A5"/>
    <w:rsid w:val="00087CA7"/>
    <w:rsid w:val="000A475B"/>
    <w:rsid w:val="000A4ABB"/>
    <w:rsid w:val="000A7998"/>
    <w:rsid w:val="000B2EDB"/>
    <w:rsid w:val="000B314D"/>
    <w:rsid w:val="000C2DAA"/>
    <w:rsid w:val="000C2E7F"/>
    <w:rsid w:val="000C4987"/>
    <w:rsid w:val="000C5F41"/>
    <w:rsid w:val="000C6D65"/>
    <w:rsid w:val="000E1C56"/>
    <w:rsid w:val="000E4BA7"/>
    <w:rsid w:val="000F2ED7"/>
    <w:rsid w:val="000F39BC"/>
    <w:rsid w:val="000F48AD"/>
    <w:rsid w:val="000F6DA8"/>
    <w:rsid w:val="000F70E9"/>
    <w:rsid w:val="001007B6"/>
    <w:rsid w:val="001025C0"/>
    <w:rsid w:val="00103743"/>
    <w:rsid w:val="00104072"/>
    <w:rsid w:val="00106518"/>
    <w:rsid w:val="00106969"/>
    <w:rsid w:val="0010764B"/>
    <w:rsid w:val="0011601B"/>
    <w:rsid w:val="00120FA5"/>
    <w:rsid w:val="00123AB0"/>
    <w:rsid w:val="001300FC"/>
    <w:rsid w:val="00137ABD"/>
    <w:rsid w:val="00140184"/>
    <w:rsid w:val="001407DB"/>
    <w:rsid w:val="00150B1B"/>
    <w:rsid w:val="0015486C"/>
    <w:rsid w:val="00156818"/>
    <w:rsid w:val="001629BC"/>
    <w:rsid w:val="0017095F"/>
    <w:rsid w:val="0017113D"/>
    <w:rsid w:val="00172FB1"/>
    <w:rsid w:val="0017683C"/>
    <w:rsid w:val="0018012F"/>
    <w:rsid w:val="0018052A"/>
    <w:rsid w:val="00180A2C"/>
    <w:rsid w:val="0018123B"/>
    <w:rsid w:val="001834B8"/>
    <w:rsid w:val="001B4234"/>
    <w:rsid w:val="001B491E"/>
    <w:rsid w:val="001B50F4"/>
    <w:rsid w:val="001B5B18"/>
    <w:rsid w:val="001C11DD"/>
    <w:rsid w:val="001C15BE"/>
    <w:rsid w:val="001C60CA"/>
    <w:rsid w:val="001C62D0"/>
    <w:rsid w:val="001C7E09"/>
    <w:rsid w:val="001D0BBE"/>
    <w:rsid w:val="001D4914"/>
    <w:rsid w:val="001D76B7"/>
    <w:rsid w:val="001E208F"/>
    <w:rsid w:val="001E56E2"/>
    <w:rsid w:val="001E7429"/>
    <w:rsid w:val="001F25A3"/>
    <w:rsid w:val="001F74E2"/>
    <w:rsid w:val="002000FE"/>
    <w:rsid w:val="002003D1"/>
    <w:rsid w:val="00213834"/>
    <w:rsid w:val="00213ADC"/>
    <w:rsid w:val="00213B48"/>
    <w:rsid w:val="00213E85"/>
    <w:rsid w:val="00214AC5"/>
    <w:rsid w:val="002202DB"/>
    <w:rsid w:val="00227DDC"/>
    <w:rsid w:val="0023019D"/>
    <w:rsid w:val="002321A9"/>
    <w:rsid w:val="00232C03"/>
    <w:rsid w:val="002348DB"/>
    <w:rsid w:val="00236CAD"/>
    <w:rsid w:val="0023716F"/>
    <w:rsid w:val="002450F1"/>
    <w:rsid w:val="002456EE"/>
    <w:rsid w:val="002536B2"/>
    <w:rsid w:val="0025472E"/>
    <w:rsid w:val="00263FE6"/>
    <w:rsid w:val="002641ED"/>
    <w:rsid w:val="0026642A"/>
    <w:rsid w:val="00270D63"/>
    <w:rsid w:val="00271EDF"/>
    <w:rsid w:val="00272116"/>
    <w:rsid w:val="00273453"/>
    <w:rsid w:val="00273A1A"/>
    <w:rsid w:val="002743E2"/>
    <w:rsid w:val="00281E09"/>
    <w:rsid w:val="00283D02"/>
    <w:rsid w:val="0028795C"/>
    <w:rsid w:val="00287C81"/>
    <w:rsid w:val="00294F9A"/>
    <w:rsid w:val="00297239"/>
    <w:rsid w:val="002A1024"/>
    <w:rsid w:val="002A494C"/>
    <w:rsid w:val="002A64EA"/>
    <w:rsid w:val="002B1E2A"/>
    <w:rsid w:val="002B3DEA"/>
    <w:rsid w:val="002B44A8"/>
    <w:rsid w:val="002B4FC0"/>
    <w:rsid w:val="002B51C6"/>
    <w:rsid w:val="002D040D"/>
    <w:rsid w:val="002D5865"/>
    <w:rsid w:val="002D5FA0"/>
    <w:rsid w:val="002E475B"/>
    <w:rsid w:val="002E76E7"/>
    <w:rsid w:val="002F1879"/>
    <w:rsid w:val="002F5410"/>
    <w:rsid w:val="002F758B"/>
    <w:rsid w:val="003017F9"/>
    <w:rsid w:val="00304ADF"/>
    <w:rsid w:val="003050BE"/>
    <w:rsid w:val="00305B07"/>
    <w:rsid w:val="00310E86"/>
    <w:rsid w:val="00312912"/>
    <w:rsid w:val="00321B06"/>
    <w:rsid w:val="00323794"/>
    <w:rsid w:val="003260DF"/>
    <w:rsid w:val="003265F6"/>
    <w:rsid w:val="00326FA3"/>
    <w:rsid w:val="00327DD5"/>
    <w:rsid w:val="00330006"/>
    <w:rsid w:val="00334020"/>
    <w:rsid w:val="0034067D"/>
    <w:rsid w:val="00341808"/>
    <w:rsid w:val="00343A60"/>
    <w:rsid w:val="00347B41"/>
    <w:rsid w:val="0035234C"/>
    <w:rsid w:val="003524E0"/>
    <w:rsid w:val="003536EB"/>
    <w:rsid w:val="00355E3F"/>
    <w:rsid w:val="003576E3"/>
    <w:rsid w:val="00360CFD"/>
    <w:rsid w:val="0036618A"/>
    <w:rsid w:val="00373D96"/>
    <w:rsid w:val="00376C1E"/>
    <w:rsid w:val="003802A8"/>
    <w:rsid w:val="00381A4E"/>
    <w:rsid w:val="00382C16"/>
    <w:rsid w:val="00382D05"/>
    <w:rsid w:val="00383111"/>
    <w:rsid w:val="003831AA"/>
    <w:rsid w:val="003847B6"/>
    <w:rsid w:val="003900DD"/>
    <w:rsid w:val="003910E4"/>
    <w:rsid w:val="003A1C44"/>
    <w:rsid w:val="003A227A"/>
    <w:rsid w:val="003A5E78"/>
    <w:rsid w:val="003B5D1F"/>
    <w:rsid w:val="003C0294"/>
    <w:rsid w:val="003C3830"/>
    <w:rsid w:val="003C584E"/>
    <w:rsid w:val="003D2393"/>
    <w:rsid w:val="003D4029"/>
    <w:rsid w:val="003D46A4"/>
    <w:rsid w:val="003E1932"/>
    <w:rsid w:val="003E23DC"/>
    <w:rsid w:val="003E24D5"/>
    <w:rsid w:val="003E58EF"/>
    <w:rsid w:val="003E7838"/>
    <w:rsid w:val="003E7C1B"/>
    <w:rsid w:val="003F2036"/>
    <w:rsid w:val="003F61A4"/>
    <w:rsid w:val="004032F8"/>
    <w:rsid w:val="0040389E"/>
    <w:rsid w:val="0041093A"/>
    <w:rsid w:val="00412E2D"/>
    <w:rsid w:val="00414B45"/>
    <w:rsid w:val="004208B9"/>
    <w:rsid w:val="00422671"/>
    <w:rsid w:val="00430C74"/>
    <w:rsid w:val="00430EB9"/>
    <w:rsid w:val="00432651"/>
    <w:rsid w:val="004332CC"/>
    <w:rsid w:val="00434476"/>
    <w:rsid w:val="00435042"/>
    <w:rsid w:val="00437439"/>
    <w:rsid w:val="00445D21"/>
    <w:rsid w:val="0045143A"/>
    <w:rsid w:val="00451650"/>
    <w:rsid w:val="00451778"/>
    <w:rsid w:val="00462531"/>
    <w:rsid w:val="004679C5"/>
    <w:rsid w:val="00467AC2"/>
    <w:rsid w:val="00470094"/>
    <w:rsid w:val="00471F75"/>
    <w:rsid w:val="00474A17"/>
    <w:rsid w:val="004759FB"/>
    <w:rsid w:val="00480051"/>
    <w:rsid w:val="00480E91"/>
    <w:rsid w:val="00484BC2"/>
    <w:rsid w:val="00496C24"/>
    <w:rsid w:val="00497C22"/>
    <w:rsid w:val="004A2EEF"/>
    <w:rsid w:val="004A44B2"/>
    <w:rsid w:val="004A47DB"/>
    <w:rsid w:val="004B0877"/>
    <w:rsid w:val="004B1B4F"/>
    <w:rsid w:val="004B4A6E"/>
    <w:rsid w:val="004B64CB"/>
    <w:rsid w:val="004C04AA"/>
    <w:rsid w:val="004C0806"/>
    <w:rsid w:val="004C1597"/>
    <w:rsid w:val="004C46B5"/>
    <w:rsid w:val="004C5C3B"/>
    <w:rsid w:val="004C6B85"/>
    <w:rsid w:val="004D150C"/>
    <w:rsid w:val="004D3D48"/>
    <w:rsid w:val="004D59EA"/>
    <w:rsid w:val="004D7252"/>
    <w:rsid w:val="004E210A"/>
    <w:rsid w:val="004F0DAC"/>
    <w:rsid w:val="004F19B6"/>
    <w:rsid w:val="004F1FDA"/>
    <w:rsid w:val="004F7FEB"/>
    <w:rsid w:val="00503807"/>
    <w:rsid w:val="00511BA2"/>
    <w:rsid w:val="00511FC2"/>
    <w:rsid w:val="005154CA"/>
    <w:rsid w:val="00515709"/>
    <w:rsid w:val="00525774"/>
    <w:rsid w:val="00526A7B"/>
    <w:rsid w:val="00537357"/>
    <w:rsid w:val="00537569"/>
    <w:rsid w:val="0054190E"/>
    <w:rsid w:val="00547D6B"/>
    <w:rsid w:val="00555639"/>
    <w:rsid w:val="00556ACE"/>
    <w:rsid w:val="005621C6"/>
    <w:rsid w:val="005636ED"/>
    <w:rsid w:val="005706E5"/>
    <w:rsid w:val="00581926"/>
    <w:rsid w:val="005847FD"/>
    <w:rsid w:val="00585028"/>
    <w:rsid w:val="00585031"/>
    <w:rsid w:val="0059067F"/>
    <w:rsid w:val="005B0E63"/>
    <w:rsid w:val="005B1DA1"/>
    <w:rsid w:val="005B1DEA"/>
    <w:rsid w:val="005B2AB6"/>
    <w:rsid w:val="005B31FF"/>
    <w:rsid w:val="005B66CE"/>
    <w:rsid w:val="005B7431"/>
    <w:rsid w:val="005C14F9"/>
    <w:rsid w:val="005C19C2"/>
    <w:rsid w:val="005C39EA"/>
    <w:rsid w:val="005D5B6E"/>
    <w:rsid w:val="005E0CBE"/>
    <w:rsid w:val="005E44E9"/>
    <w:rsid w:val="005E4B5D"/>
    <w:rsid w:val="005F6818"/>
    <w:rsid w:val="005F784C"/>
    <w:rsid w:val="00600A87"/>
    <w:rsid w:val="00602722"/>
    <w:rsid w:val="00602951"/>
    <w:rsid w:val="00607D2A"/>
    <w:rsid w:val="00610FA8"/>
    <w:rsid w:val="006133EA"/>
    <w:rsid w:val="00613559"/>
    <w:rsid w:val="00615AC9"/>
    <w:rsid w:val="00615D90"/>
    <w:rsid w:val="00621B33"/>
    <w:rsid w:val="00622696"/>
    <w:rsid w:val="00625F49"/>
    <w:rsid w:val="00627946"/>
    <w:rsid w:val="0063023B"/>
    <w:rsid w:val="006309C3"/>
    <w:rsid w:val="00633DFE"/>
    <w:rsid w:val="00634B7D"/>
    <w:rsid w:val="00640B24"/>
    <w:rsid w:val="0064490D"/>
    <w:rsid w:val="00646DDC"/>
    <w:rsid w:val="006545CC"/>
    <w:rsid w:val="00654BDB"/>
    <w:rsid w:val="00655839"/>
    <w:rsid w:val="0065790C"/>
    <w:rsid w:val="00664E2A"/>
    <w:rsid w:val="006678C7"/>
    <w:rsid w:val="00672ADB"/>
    <w:rsid w:val="0068252B"/>
    <w:rsid w:val="006834D2"/>
    <w:rsid w:val="00683AF3"/>
    <w:rsid w:val="0068492A"/>
    <w:rsid w:val="00693075"/>
    <w:rsid w:val="00694DB9"/>
    <w:rsid w:val="00694F1F"/>
    <w:rsid w:val="00695EAB"/>
    <w:rsid w:val="006A1ACB"/>
    <w:rsid w:val="006A35AA"/>
    <w:rsid w:val="006A4758"/>
    <w:rsid w:val="006A5A9A"/>
    <w:rsid w:val="006B093C"/>
    <w:rsid w:val="006B3623"/>
    <w:rsid w:val="006C5321"/>
    <w:rsid w:val="006D1C54"/>
    <w:rsid w:val="006D1F0F"/>
    <w:rsid w:val="006E23EA"/>
    <w:rsid w:val="006E3A6A"/>
    <w:rsid w:val="006E5FF4"/>
    <w:rsid w:val="006F4941"/>
    <w:rsid w:val="00704239"/>
    <w:rsid w:val="007167F5"/>
    <w:rsid w:val="00722771"/>
    <w:rsid w:val="007249AF"/>
    <w:rsid w:val="00724FF0"/>
    <w:rsid w:val="00726DC3"/>
    <w:rsid w:val="00727142"/>
    <w:rsid w:val="0074231E"/>
    <w:rsid w:val="00743778"/>
    <w:rsid w:val="00747D08"/>
    <w:rsid w:val="00751455"/>
    <w:rsid w:val="00753FE9"/>
    <w:rsid w:val="00762D30"/>
    <w:rsid w:val="00763842"/>
    <w:rsid w:val="00763BE0"/>
    <w:rsid w:val="00763D73"/>
    <w:rsid w:val="0076741D"/>
    <w:rsid w:val="00770638"/>
    <w:rsid w:val="00770C16"/>
    <w:rsid w:val="00770ED1"/>
    <w:rsid w:val="0077447C"/>
    <w:rsid w:val="0077550C"/>
    <w:rsid w:val="00777C53"/>
    <w:rsid w:val="00781610"/>
    <w:rsid w:val="00785638"/>
    <w:rsid w:val="0078597B"/>
    <w:rsid w:val="00785C72"/>
    <w:rsid w:val="00787420"/>
    <w:rsid w:val="007946FE"/>
    <w:rsid w:val="00794F71"/>
    <w:rsid w:val="007975D4"/>
    <w:rsid w:val="007A18F8"/>
    <w:rsid w:val="007A2B86"/>
    <w:rsid w:val="007A3489"/>
    <w:rsid w:val="007A3BBB"/>
    <w:rsid w:val="007A4248"/>
    <w:rsid w:val="007A4D03"/>
    <w:rsid w:val="007A5674"/>
    <w:rsid w:val="007C1B73"/>
    <w:rsid w:val="007C21F5"/>
    <w:rsid w:val="007C26CE"/>
    <w:rsid w:val="007C55D6"/>
    <w:rsid w:val="007C5C43"/>
    <w:rsid w:val="007D2497"/>
    <w:rsid w:val="007D3278"/>
    <w:rsid w:val="007D38D3"/>
    <w:rsid w:val="007D61F9"/>
    <w:rsid w:val="007D6C64"/>
    <w:rsid w:val="007D7DDE"/>
    <w:rsid w:val="007E15DD"/>
    <w:rsid w:val="007E2679"/>
    <w:rsid w:val="007E6C5F"/>
    <w:rsid w:val="007E761F"/>
    <w:rsid w:val="007F4223"/>
    <w:rsid w:val="007F4819"/>
    <w:rsid w:val="007F5236"/>
    <w:rsid w:val="00800214"/>
    <w:rsid w:val="00801674"/>
    <w:rsid w:val="00802498"/>
    <w:rsid w:val="00802873"/>
    <w:rsid w:val="00802CAE"/>
    <w:rsid w:val="00803380"/>
    <w:rsid w:val="00804A29"/>
    <w:rsid w:val="0081060C"/>
    <w:rsid w:val="00814651"/>
    <w:rsid w:val="008155E3"/>
    <w:rsid w:val="0082078B"/>
    <w:rsid w:val="00822047"/>
    <w:rsid w:val="00825514"/>
    <w:rsid w:val="0083033C"/>
    <w:rsid w:val="0083334A"/>
    <w:rsid w:val="008409A3"/>
    <w:rsid w:val="00841723"/>
    <w:rsid w:val="0084489B"/>
    <w:rsid w:val="00845249"/>
    <w:rsid w:val="00851132"/>
    <w:rsid w:val="00853202"/>
    <w:rsid w:val="0086031F"/>
    <w:rsid w:val="008638B3"/>
    <w:rsid w:val="00863FB3"/>
    <w:rsid w:val="00866562"/>
    <w:rsid w:val="008736FD"/>
    <w:rsid w:val="00873B61"/>
    <w:rsid w:val="00873BBF"/>
    <w:rsid w:val="0087596C"/>
    <w:rsid w:val="008761A0"/>
    <w:rsid w:val="00887FA5"/>
    <w:rsid w:val="00891A20"/>
    <w:rsid w:val="00892258"/>
    <w:rsid w:val="00895997"/>
    <w:rsid w:val="008A06C1"/>
    <w:rsid w:val="008A478D"/>
    <w:rsid w:val="008A492C"/>
    <w:rsid w:val="008A4937"/>
    <w:rsid w:val="008B2F07"/>
    <w:rsid w:val="008C017D"/>
    <w:rsid w:val="008C3991"/>
    <w:rsid w:val="008D35C9"/>
    <w:rsid w:val="008D3FC7"/>
    <w:rsid w:val="008D78F7"/>
    <w:rsid w:val="008F56AD"/>
    <w:rsid w:val="0090166C"/>
    <w:rsid w:val="00903D93"/>
    <w:rsid w:val="00905280"/>
    <w:rsid w:val="00910075"/>
    <w:rsid w:val="00914550"/>
    <w:rsid w:val="00914B55"/>
    <w:rsid w:val="0091671F"/>
    <w:rsid w:val="00920C8B"/>
    <w:rsid w:val="00923F27"/>
    <w:rsid w:val="0093134F"/>
    <w:rsid w:val="0093653F"/>
    <w:rsid w:val="00943C77"/>
    <w:rsid w:val="00943F2D"/>
    <w:rsid w:val="00944411"/>
    <w:rsid w:val="00945729"/>
    <w:rsid w:val="00945B05"/>
    <w:rsid w:val="00946F8B"/>
    <w:rsid w:val="00947917"/>
    <w:rsid w:val="00957E94"/>
    <w:rsid w:val="00960C81"/>
    <w:rsid w:val="00961684"/>
    <w:rsid w:val="009639A2"/>
    <w:rsid w:val="00964D10"/>
    <w:rsid w:val="00967D03"/>
    <w:rsid w:val="0097429C"/>
    <w:rsid w:val="0097577A"/>
    <w:rsid w:val="00980572"/>
    <w:rsid w:val="0098208E"/>
    <w:rsid w:val="0098389A"/>
    <w:rsid w:val="00984A29"/>
    <w:rsid w:val="009850CA"/>
    <w:rsid w:val="00985645"/>
    <w:rsid w:val="00986371"/>
    <w:rsid w:val="0099081F"/>
    <w:rsid w:val="009912DF"/>
    <w:rsid w:val="009A0A1E"/>
    <w:rsid w:val="009A1043"/>
    <w:rsid w:val="009A193C"/>
    <w:rsid w:val="009A1CFF"/>
    <w:rsid w:val="009A2B87"/>
    <w:rsid w:val="009A5721"/>
    <w:rsid w:val="009A5782"/>
    <w:rsid w:val="009B11F9"/>
    <w:rsid w:val="009B5D6C"/>
    <w:rsid w:val="009B7EF6"/>
    <w:rsid w:val="009C61EE"/>
    <w:rsid w:val="009D19A6"/>
    <w:rsid w:val="009D30EE"/>
    <w:rsid w:val="009D3800"/>
    <w:rsid w:val="009D398A"/>
    <w:rsid w:val="009D50B9"/>
    <w:rsid w:val="009D714D"/>
    <w:rsid w:val="009D7C94"/>
    <w:rsid w:val="009E0EDC"/>
    <w:rsid w:val="009E1244"/>
    <w:rsid w:val="009E1318"/>
    <w:rsid w:val="009E189E"/>
    <w:rsid w:val="009E1A44"/>
    <w:rsid w:val="009E68B1"/>
    <w:rsid w:val="009F780C"/>
    <w:rsid w:val="00A0499B"/>
    <w:rsid w:val="00A13414"/>
    <w:rsid w:val="00A14A65"/>
    <w:rsid w:val="00A158B0"/>
    <w:rsid w:val="00A161CF"/>
    <w:rsid w:val="00A3336D"/>
    <w:rsid w:val="00A34934"/>
    <w:rsid w:val="00A40DE8"/>
    <w:rsid w:val="00A4359D"/>
    <w:rsid w:val="00A45272"/>
    <w:rsid w:val="00A4611D"/>
    <w:rsid w:val="00A54A76"/>
    <w:rsid w:val="00A63083"/>
    <w:rsid w:val="00A643A9"/>
    <w:rsid w:val="00A67451"/>
    <w:rsid w:val="00A715F8"/>
    <w:rsid w:val="00A725F4"/>
    <w:rsid w:val="00A73579"/>
    <w:rsid w:val="00A73C21"/>
    <w:rsid w:val="00A74AA0"/>
    <w:rsid w:val="00A753D3"/>
    <w:rsid w:val="00A958A0"/>
    <w:rsid w:val="00A967D8"/>
    <w:rsid w:val="00AA0EFE"/>
    <w:rsid w:val="00AA6379"/>
    <w:rsid w:val="00AA72C3"/>
    <w:rsid w:val="00AB1252"/>
    <w:rsid w:val="00AC0A86"/>
    <w:rsid w:val="00AC3A56"/>
    <w:rsid w:val="00AC6DA2"/>
    <w:rsid w:val="00AE128C"/>
    <w:rsid w:val="00AE20C2"/>
    <w:rsid w:val="00AE2B19"/>
    <w:rsid w:val="00AE56A1"/>
    <w:rsid w:val="00AF1E4E"/>
    <w:rsid w:val="00AF4540"/>
    <w:rsid w:val="00AF6B23"/>
    <w:rsid w:val="00AF6FB0"/>
    <w:rsid w:val="00AF7418"/>
    <w:rsid w:val="00B0349F"/>
    <w:rsid w:val="00B05CFD"/>
    <w:rsid w:val="00B0746A"/>
    <w:rsid w:val="00B0774E"/>
    <w:rsid w:val="00B0793E"/>
    <w:rsid w:val="00B10875"/>
    <w:rsid w:val="00B15D47"/>
    <w:rsid w:val="00B15D53"/>
    <w:rsid w:val="00B21235"/>
    <w:rsid w:val="00B22320"/>
    <w:rsid w:val="00B27D91"/>
    <w:rsid w:val="00B32AF2"/>
    <w:rsid w:val="00B35017"/>
    <w:rsid w:val="00B42769"/>
    <w:rsid w:val="00B42C2D"/>
    <w:rsid w:val="00B46F42"/>
    <w:rsid w:val="00B47E42"/>
    <w:rsid w:val="00B5155A"/>
    <w:rsid w:val="00B536B0"/>
    <w:rsid w:val="00B57766"/>
    <w:rsid w:val="00B61CF5"/>
    <w:rsid w:val="00B75E76"/>
    <w:rsid w:val="00B81189"/>
    <w:rsid w:val="00B81911"/>
    <w:rsid w:val="00B82717"/>
    <w:rsid w:val="00B91A70"/>
    <w:rsid w:val="00B95CF6"/>
    <w:rsid w:val="00B9676B"/>
    <w:rsid w:val="00B96C7A"/>
    <w:rsid w:val="00B9791E"/>
    <w:rsid w:val="00BA1DA9"/>
    <w:rsid w:val="00BA2202"/>
    <w:rsid w:val="00BA27F2"/>
    <w:rsid w:val="00BA31A3"/>
    <w:rsid w:val="00BB1EF6"/>
    <w:rsid w:val="00BB3133"/>
    <w:rsid w:val="00BB6DE7"/>
    <w:rsid w:val="00BC3A3A"/>
    <w:rsid w:val="00BD09F8"/>
    <w:rsid w:val="00BD5A71"/>
    <w:rsid w:val="00BD7865"/>
    <w:rsid w:val="00BE44F8"/>
    <w:rsid w:val="00BE5D52"/>
    <w:rsid w:val="00BF0706"/>
    <w:rsid w:val="00BF5343"/>
    <w:rsid w:val="00C0037D"/>
    <w:rsid w:val="00C03326"/>
    <w:rsid w:val="00C16B8C"/>
    <w:rsid w:val="00C33E38"/>
    <w:rsid w:val="00C340A5"/>
    <w:rsid w:val="00C365F5"/>
    <w:rsid w:val="00C402FA"/>
    <w:rsid w:val="00C45266"/>
    <w:rsid w:val="00C45431"/>
    <w:rsid w:val="00C46DA5"/>
    <w:rsid w:val="00C5007D"/>
    <w:rsid w:val="00C55BD2"/>
    <w:rsid w:val="00C561C3"/>
    <w:rsid w:val="00C5705B"/>
    <w:rsid w:val="00C61959"/>
    <w:rsid w:val="00C637C5"/>
    <w:rsid w:val="00C6496B"/>
    <w:rsid w:val="00C67FE7"/>
    <w:rsid w:val="00C731B9"/>
    <w:rsid w:val="00C7405B"/>
    <w:rsid w:val="00C77D02"/>
    <w:rsid w:val="00C8263B"/>
    <w:rsid w:val="00C83DD5"/>
    <w:rsid w:val="00C8521F"/>
    <w:rsid w:val="00C86B37"/>
    <w:rsid w:val="00C92081"/>
    <w:rsid w:val="00C9509F"/>
    <w:rsid w:val="00C952FF"/>
    <w:rsid w:val="00CA3A31"/>
    <w:rsid w:val="00CB147E"/>
    <w:rsid w:val="00CB7269"/>
    <w:rsid w:val="00CC4779"/>
    <w:rsid w:val="00CD105C"/>
    <w:rsid w:val="00CD2FFC"/>
    <w:rsid w:val="00CD3300"/>
    <w:rsid w:val="00CD41E0"/>
    <w:rsid w:val="00CD6423"/>
    <w:rsid w:val="00CE1F39"/>
    <w:rsid w:val="00CE5C2F"/>
    <w:rsid w:val="00CF1E9E"/>
    <w:rsid w:val="00CF4B42"/>
    <w:rsid w:val="00CF627D"/>
    <w:rsid w:val="00CF690F"/>
    <w:rsid w:val="00D01038"/>
    <w:rsid w:val="00D07CAD"/>
    <w:rsid w:val="00D1550C"/>
    <w:rsid w:val="00D208F0"/>
    <w:rsid w:val="00D34D55"/>
    <w:rsid w:val="00D40061"/>
    <w:rsid w:val="00D44C47"/>
    <w:rsid w:val="00D455F5"/>
    <w:rsid w:val="00D457FB"/>
    <w:rsid w:val="00D5277C"/>
    <w:rsid w:val="00D575D1"/>
    <w:rsid w:val="00D71E22"/>
    <w:rsid w:val="00D73436"/>
    <w:rsid w:val="00D74D7B"/>
    <w:rsid w:val="00D774E1"/>
    <w:rsid w:val="00D779F5"/>
    <w:rsid w:val="00D84EC0"/>
    <w:rsid w:val="00D90AAD"/>
    <w:rsid w:val="00D92ABF"/>
    <w:rsid w:val="00D945E1"/>
    <w:rsid w:val="00D95E0E"/>
    <w:rsid w:val="00D97A51"/>
    <w:rsid w:val="00D97ADA"/>
    <w:rsid w:val="00DA2826"/>
    <w:rsid w:val="00DA2EBD"/>
    <w:rsid w:val="00DA3ED0"/>
    <w:rsid w:val="00DA7B2E"/>
    <w:rsid w:val="00DC1A5E"/>
    <w:rsid w:val="00DC22F0"/>
    <w:rsid w:val="00DD1B28"/>
    <w:rsid w:val="00DD395B"/>
    <w:rsid w:val="00DD44A1"/>
    <w:rsid w:val="00DE040A"/>
    <w:rsid w:val="00DE498D"/>
    <w:rsid w:val="00DE6656"/>
    <w:rsid w:val="00DF0B41"/>
    <w:rsid w:val="00DF2D7D"/>
    <w:rsid w:val="00DF4711"/>
    <w:rsid w:val="00DF51D6"/>
    <w:rsid w:val="00DF6124"/>
    <w:rsid w:val="00DF710B"/>
    <w:rsid w:val="00E021D6"/>
    <w:rsid w:val="00E056DE"/>
    <w:rsid w:val="00E07168"/>
    <w:rsid w:val="00E14AB7"/>
    <w:rsid w:val="00E15109"/>
    <w:rsid w:val="00E1721D"/>
    <w:rsid w:val="00E172FB"/>
    <w:rsid w:val="00E240F2"/>
    <w:rsid w:val="00E33C93"/>
    <w:rsid w:val="00E35C7B"/>
    <w:rsid w:val="00E42243"/>
    <w:rsid w:val="00E45C88"/>
    <w:rsid w:val="00E46DAE"/>
    <w:rsid w:val="00E47F26"/>
    <w:rsid w:val="00E508CE"/>
    <w:rsid w:val="00E512A8"/>
    <w:rsid w:val="00E520DF"/>
    <w:rsid w:val="00E61B73"/>
    <w:rsid w:val="00E63F0A"/>
    <w:rsid w:val="00E700BF"/>
    <w:rsid w:val="00E71B50"/>
    <w:rsid w:val="00E7744E"/>
    <w:rsid w:val="00E8515B"/>
    <w:rsid w:val="00E86167"/>
    <w:rsid w:val="00E866B6"/>
    <w:rsid w:val="00E871BC"/>
    <w:rsid w:val="00E8793C"/>
    <w:rsid w:val="00E94C1B"/>
    <w:rsid w:val="00E97A70"/>
    <w:rsid w:val="00EA1210"/>
    <w:rsid w:val="00EA3D25"/>
    <w:rsid w:val="00EB501E"/>
    <w:rsid w:val="00EC0776"/>
    <w:rsid w:val="00EC0778"/>
    <w:rsid w:val="00EC0BFC"/>
    <w:rsid w:val="00EC432B"/>
    <w:rsid w:val="00EC540E"/>
    <w:rsid w:val="00EC547C"/>
    <w:rsid w:val="00EC6BD9"/>
    <w:rsid w:val="00EC70DD"/>
    <w:rsid w:val="00EC7A9C"/>
    <w:rsid w:val="00ED069A"/>
    <w:rsid w:val="00ED59D3"/>
    <w:rsid w:val="00EE2D47"/>
    <w:rsid w:val="00EE585A"/>
    <w:rsid w:val="00EE601B"/>
    <w:rsid w:val="00EE7888"/>
    <w:rsid w:val="00EF5BE2"/>
    <w:rsid w:val="00EF613D"/>
    <w:rsid w:val="00EF68E2"/>
    <w:rsid w:val="00F034B3"/>
    <w:rsid w:val="00F05A54"/>
    <w:rsid w:val="00F169CF"/>
    <w:rsid w:val="00F21C52"/>
    <w:rsid w:val="00F27A30"/>
    <w:rsid w:val="00F3130A"/>
    <w:rsid w:val="00F37DE2"/>
    <w:rsid w:val="00F408FB"/>
    <w:rsid w:val="00F40CAF"/>
    <w:rsid w:val="00F4103E"/>
    <w:rsid w:val="00F445CB"/>
    <w:rsid w:val="00F5770B"/>
    <w:rsid w:val="00F61419"/>
    <w:rsid w:val="00F66142"/>
    <w:rsid w:val="00F71D46"/>
    <w:rsid w:val="00F73C4C"/>
    <w:rsid w:val="00F74B1E"/>
    <w:rsid w:val="00F75D0F"/>
    <w:rsid w:val="00F8375F"/>
    <w:rsid w:val="00F84E00"/>
    <w:rsid w:val="00F9028A"/>
    <w:rsid w:val="00F91178"/>
    <w:rsid w:val="00F94A8C"/>
    <w:rsid w:val="00F95D35"/>
    <w:rsid w:val="00F9655C"/>
    <w:rsid w:val="00F979BB"/>
    <w:rsid w:val="00FA04BE"/>
    <w:rsid w:val="00FA23A3"/>
    <w:rsid w:val="00FA6797"/>
    <w:rsid w:val="00FA7364"/>
    <w:rsid w:val="00FB2DAE"/>
    <w:rsid w:val="00FB2DE0"/>
    <w:rsid w:val="00FB38E8"/>
    <w:rsid w:val="00FC4D58"/>
    <w:rsid w:val="00FD5DE7"/>
    <w:rsid w:val="00FE0C4E"/>
    <w:rsid w:val="00FE24D8"/>
    <w:rsid w:val="00FE3270"/>
    <w:rsid w:val="00FE3497"/>
    <w:rsid w:val="00FE4310"/>
    <w:rsid w:val="00FF2F0A"/>
    <w:rsid w:val="00FF50FE"/>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B737"/>
  <w15:chartTrackingRefBased/>
  <w15:docId w15:val="{CD2F3216-1472-48BD-852A-9455994A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E8"/>
    <w:pPr>
      <w:ind w:left="720"/>
      <w:contextualSpacing/>
    </w:pPr>
  </w:style>
  <w:style w:type="paragraph" w:styleId="Header">
    <w:name w:val="header"/>
    <w:basedOn w:val="Normal"/>
    <w:link w:val="HeaderChar"/>
    <w:uiPriority w:val="99"/>
    <w:unhideWhenUsed/>
    <w:rsid w:val="00DF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24"/>
  </w:style>
  <w:style w:type="paragraph" w:styleId="Footer">
    <w:name w:val="footer"/>
    <w:basedOn w:val="Normal"/>
    <w:link w:val="FooterChar"/>
    <w:uiPriority w:val="99"/>
    <w:unhideWhenUsed/>
    <w:rsid w:val="00DF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24"/>
  </w:style>
  <w:style w:type="character" w:styleId="CommentReference">
    <w:name w:val="annotation reference"/>
    <w:basedOn w:val="DefaultParagraphFont"/>
    <w:uiPriority w:val="99"/>
    <w:semiHidden/>
    <w:unhideWhenUsed/>
    <w:rsid w:val="0098389A"/>
    <w:rPr>
      <w:sz w:val="16"/>
      <w:szCs w:val="16"/>
    </w:rPr>
  </w:style>
  <w:style w:type="paragraph" w:styleId="CommentText">
    <w:name w:val="annotation text"/>
    <w:basedOn w:val="Normal"/>
    <w:link w:val="CommentTextChar"/>
    <w:uiPriority w:val="99"/>
    <w:semiHidden/>
    <w:unhideWhenUsed/>
    <w:rsid w:val="0098389A"/>
    <w:pPr>
      <w:spacing w:line="240" w:lineRule="auto"/>
    </w:pPr>
    <w:rPr>
      <w:sz w:val="20"/>
      <w:szCs w:val="20"/>
    </w:rPr>
  </w:style>
  <w:style w:type="character" w:customStyle="1" w:styleId="CommentTextChar">
    <w:name w:val="Comment Text Char"/>
    <w:basedOn w:val="DefaultParagraphFont"/>
    <w:link w:val="CommentText"/>
    <w:uiPriority w:val="99"/>
    <w:semiHidden/>
    <w:rsid w:val="0098389A"/>
    <w:rPr>
      <w:sz w:val="20"/>
      <w:szCs w:val="20"/>
    </w:rPr>
  </w:style>
  <w:style w:type="paragraph" w:styleId="CommentSubject">
    <w:name w:val="annotation subject"/>
    <w:basedOn w:val="CommentText"/>
    <w:next w:val="CommentText"/>
    <w:link w:val="CommentSubjectChar"/>
    <w:uiPriority w:val="99"/>
    <w:semiHidden/>
    <w:unhideWhenUsed/>
    <w:rsid w:val="0098389A"/>
    <w:rPr>
      <w:b/>
      <w:bCs/>
    </w:rPr>
  </w:style>
  <w:style w:type="character" w:customStyle="1" w:styleId="CommentSubjectChar">
    <w:name w:val="Comment Subject Char"/>
    <w:basedOn w:val="CommentTextChar"/>
    <w:link w:val="CommentSubject"/>
    <w:uiPriority w:val="99"/>
    <w:semiHidden/>
    <w:rsid w:val="0098389A"/>
    <w:rPr>
      <w:b/>
      <w:bCs/>
      <w:sz w:val="20"/>
      <w:szCs w:val="20"/>
    </w:rPr>
  </w:style>
  <w:style w:type="paragraph" w:styleId="BalloonText">
    <w:name w:val="Balloon Text"/>
    <w:basedOn w:val="Normal"/>
    <w:link w:val="BalloonTextChar"/>
    <w:uiPriority w:val="99"/>
    <w:semiHidden/>
    <w:unhideWhenUsed/>
    <w:rsid w:val="0098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9A"/>
    <w:rPr>
      <w:rFonts w:ascii="Segoe UI" w:hAnsi="Segoe UI" w:cs="Segoe UI"/>
      <w:sz w:val="18"/>
      <w:szCs w:val="18"/>
    </w:rPr>
  </w:style>
  <w:style w:type="paragraph" w:styleId="Revision">
    <w:name w:val="Revision"/>
    <w:hidden/>
    <w:uiPriority w:val="99"/>
    <w:semiHidden/>
    <w:rsid w:val="00DF7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DDDA-2E4E-4069-9DF4-1DE627C7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Branden</dc:creator>
  <cp:keywords/>
  <dc:description/>
  <cp:lastModifiedBy>Franssen, Jennifer</cp:lastModifiedBy>
  <cp:revision>3</cp:revision>
  <cp:lastPrinted>2017-04-25T00:27:00Z</cp:lastPrinted>
  <dcterms:created xsi:type="dcterms:W3CDTF">2020-11-19T01:01:00Z</dcterms:created>
  <dcterms:modified xsi:type="dcterms:W3CDTF">2020-11-19T01:02:00Z</dcterms:modified>
</cp:coreProperties>
</file>